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color w:val="000000"/>
          <w:sz w:val="40"/>
          <w:szCs w:val="40"/>
        </w:rPr>
      </w:pPr>
      <w:r w:rsidDel="00000000" w:rsidR="00000000" w:rsidRPr="00000000">
        <w:rPr>
          <w:rtl w:val="0"/>
        </w:rPr>
        <w:t xml:space="preserve">Cesta do rodiny saleziánov spolupracovníkov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color w:val="000000"/>
          <w:sz w:val="40"/>
          <w:szCs w:val="40"/>
        </w:rPr>
      </w:pPr>
      <w:r w:rsidDel="00000000" w:rsidR="00000000" w:rsidRPr="00000000">
        <w:rPr>
          <w:rtl w:val="0"/>
        </w:rPr>
        <w:t xml:space="preserve">(2023)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540" w:firstLine="0"/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Salezián spolupracovník má byť podľa myšlienky dona Bosca "pravým saleziánom vo svete", horlivý spolupracovník Boha vo veľkých oblastiach saleziánskeho poslania, ktorými sú rodiny, mladí, výchova, sociálna a politická angažovanosť. Prísľuby sú teda začiatkom celoživotnej cesty saleziánskeho povolania, na ktorej je potrebné rásť a rozvíjať sa.</w:t>
      </w:r>
    </w:p>
    <w:p w:rsidR="00000000" w:rsidDel="00000000" w:rsidP="00000000" w:rsidRDefault="00000000" w:rsidRPr="00000000" w14:paraId="00000005">
      <w:pPr>
        <w:spacing w:after="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Dvojročné obdobie prípravy na vstup do Združenia ponúka, okrem iného, dve dôležité skutočnosti. V prvom rade je to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čas na slobodné a uvážené rozhodnutie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aby sa vstup do Združenia nebol unáhlený a bez dostatočných poznatkov a skúseností. Druhou dôležitou skutočnosťou je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príležitosť naučiť sa cítiť zodpovednosť za svoj osobný rast v povolaní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čo dáva predpoklad na to, aby aj po prísľuboch žili a dynamicky rozvíjali svoje saleziánske povolanie.</w:t>
      </w:r>
    </w:p>
    <w:p w:rsidR="00000000" w:rsidDel="00000000" w:rsidP="00000000" w:rsidRDefault="00000000" w:rsidRPr="00000000" w14:paraId="00000006">
      <w:pPr>
        <w:spacing w:after="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Salezián spolupracovník je povolaný žiť vo svete, ktorý je poznačený prudkými zmenami. Aj z tohto dôvodu bolo potrebné pristúpiť k revízii ponúkaných formačných materiálov i samotných prístupov. Takýto proces obnovy a revízie sa javí nevyhnutný zhruba po 5-7 rokoch, najmä čo sa týka študijných materiálov.</w:t>
      </w:r>
    </w:p>
    <w:p w:rsidR="00000000" w:rsidDel="00000000" w:rsidP="00000000" w:rsidRDefault="00000000" w:rsidRPr="00000000" w14:paraId="00000007">
      <w:pPr>
        <w:spacing w:after="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Inšpirácie formačných prístupov</w:t>
      </w:r>
    </w:p>
    <w:p w:rsidR="00000000" w:rsidDel="00000000" w:rsidP="00000000" w:rsidRDefault="00000000" w:rsidRPr="00000000" w14:paraId="00000009">
      <w:pPr>
        <w:pStyle w:val="Heading3"/>
        <w:rPr/>
      </w:pPr>
      <w:r w:rsidDel="00000000" w:rsidR="00000000" w:rsidRPr="00000000">
        <w:rPr>
          <w:rtl w:val="0"/>
        </w:rPr>
        <w:t xml:space="preserve">Laik v Cirkvi</w:t>
      </w:r>
    </w:p>
    <w:p w:rsidR="00000000" w:rsidDel="00000000" w:rsidP="00000000" w:rsidRDefault="00000000" w:rsidRPr="00000000" w14:paraId="0000000A">
      <w:pPr>
        <w:spacing w:before="12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1. Katolícka Cirkev v období po II Vatikánskom koncile (1962-1965) stále viac prehlbuje svoju reflexiu o hodnote života laikov v Cirkvi a podnecuje ich aktívnu účasť na jej poslaní. </w:t>
      </w:r>
    </w:p>
    <w:p w:rsidR="00000000" w:rsidDel="00000000" w:rsidP="00000000" w:rsidRDefault="00000000" w:rsidRPr="00000000" w14:paraId="0000000B">
      <w:pPr>
        <w:spacing w:before="12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2. Pred Koncilom sa hlavnými protagonistami evanjelizácie a života Cirkvi javili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kňazi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a 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rehoľné spoločenstvá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zatiaľ čo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kresťanským laikom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bola zväčša prisudzovaná pasívna rola poslúchajúcich prípadne podporujúcich. Zmenu tejto situácie priniesol II. Vatikánsky koncil, ktorý prehlásil, že kresťanskí laici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1259" w:hanging="357"/>
        <w:jc w:val="left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sú povolaní k svätosti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rovnocenným spôsobom ako kňazi a rehoľníci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160" w:line="240" w:lineRule="auto"/>
        <w:ind w:left="1259" w:hanging="357"/>
        <w:rPr>
          <w:rFonts w:ascii="Tahoma" w:cs="Tahoma" w:eastAsia="Tahoma" w:hAnsi="Tahom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môžu/majú mať aktívnu účasť na poslaní Cirkvi - ohlasovať evanjelium a byť jeho svedkami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2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Kresťanskému laikovi sa takto otvára pozvanie k vyššej úrovni kresťanskej zrelosti, ktorú môžeme charakterizovať týmito postojmi: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line="240" w:lineRule="auto"/>
        <w:ind w:left="1259" w:hanging="357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nielen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vyznávať svoju vieru,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ale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žiť radikálne pre Krista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line="240" w:lineRule="auto"/>
        <w:ind w:left="1259" w:hanging="357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nielen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prijímať existenciu Cirkvi,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ale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ju aj milovať a budovať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line="240" w:lineRule="auto"/>
        <w:ind w:left="1259" w:hanging="357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nielen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hmotne podporovať cirkevné inštitúcie,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ale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mať aj ochotu slúžiť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before="12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r w:rsidDel="00000000" w:rsidR="00000000" w:rsidRPr="00000000">
        <w:rPr>
          <w:rtl w:val="0"/>
        </w:rPr>
        <w:t xml:space="preserve">Obnovený koncept kresťanskej zrelosti</w:t>
      </w:r>
    </w:p>
    <w:p w:rsidR="00000000" w:rsidDel="00000000" w:rsidP="00000000" w:rsidRDefault="00000000" w:rsidRPr="00000000" w14:paraId="00000015">
      <w:pPr>
        <w:spacing w:before="120"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 Prvý rok prípravy záujemcov o účasť na živote spoločenstva saleziánov spolupracovníkov je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zameraný na kresťanskú zrelosť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Do Združenia prijímame dospelých ľudí, preto je veľmi dôležité uvedomiť si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niekoľko dôležitých prvkov formácie dospelých ľudí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v súčasnosti.</w:t>
      </w:r>
    </w:p>
    <w:p w:rsidR="00000000" w:rsidDel="00000000" w:rsidP="00000000" w:rsidRDefault="00000000" w:rsidRPr="00000000" w14:paraId="00000016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3.1.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Dospelý človek na ceste osobného dozrievania vo viere</w:t>
      </w:r>
      <w:r w:rsidDel="00000000" w:rsidR="00000000" w:rsidRPr="00000000">
        <w:rPr>
          <w:rFonts w:ascii="Georgia" w:cs="Georgia" w:eastAsia="Georgia" w:hAnsi="Georgia"/>
          <w:b w:val="1"/>
          <w:vertAlign w:val="superscript"/>
        </w:rPr>
        <w:footnoteReference w:customMarkFollows="0" w:id="0"/>
      </w:r>
      <w:r w:rsidDel="00000000" w:rsidR="00000000" w:rsidRPr="00000000">
        <w:rPr>
          <w:rFonts w:ascii="Georgia" w:cs="Georgia" w:eastAsia="Georgia" w:hAnsi="Georgia"/>
          <w:rtl w:val="0"/>
        </w:rPr>
        <w:t xml:space="preserve"> nemôže mať len klasickú stabilitu, ako tomu bolo v minulosti, ale musí sa naučiť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byť pevným uprostred premenlivých hodnôt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Mal by mať kompas, ktorý ho orientuje. Byť stabilnou osobou neznamená byť nemeniteľný, skostnatený. Je potrebné zostať sám sebou a zároveň sa (pomocou zmien)  sám sebou stávať.  </w:t>
      </w:r>
    </w:p>
    <w:p w:rsidR="00000000" w:rsidDel="00000000" w:rsidP="00000000" w:rsidRDefault="00000000" w:rsidRPr="00000000" w14:paraId="00000017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Človek môže urobiť mnohé zmeny, ktoré mu pomáhajú byť samým sebou a ktoré ho však degradujú. Čo mi pomáha byť dobrým a ľudským? Prichádzame teda k tomu, že oblasti dozrievania viery môžeme sformulovať nasledovné dvojice, ktoré vytvárajú formačné pnutie: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line="240" w:lineRule="auto"/>
        <w:ind w:left="1259" w:hanging="357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vernosť  // ochota obrátiť sa,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line="240" w:lineRule="auto"/>
        <w:ind w:left="1259" w:hanging="357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stabilita // schopnosť zmeniť 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120" w:line="240" w:lineRule="auto"/>
        <w:ind w:left="1259" w:hanging="357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zotrvať na mieste // dať sa na cestu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3.1.1. Vernosť, stálosť a zotrvanie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nás vedú k poznaniu prameňov kresťanskej viery, jej učenia a skúsenosti. Je potrebné vrátiť sa spolu k pokladu viery, nie ako do múzea, ale ako k dedičstvu, ktoré môže priniesť ovocie. Tu je potrebné stretnúť sa v prvom rade s Božím slovom, ale aj s učením tradície, s pravdami viery, ktoré boli formulované. Kontakt s tradíciou, aby sme mohli prijať a odovzdať niečo nasledovníkom. Nejde len o odovzdávanie formuliek a dogiem, ale aj o skúsenosti viery a života. Odovzdávať vieru ako poučky znamená dávať niekomu prázdnu mušľu, síce krásnu, v ktorej bol kedysi život, ale teraz už nie je. A krásne neživé veci síce môžeme aj obdivovať, ale viac nič.</w:t>
      </w:r>
    </w:p>
    <w:p w:rsidR="00000000" w:rsidDel="00000000" w:rsidP="00000000" w:rsidRDefault="00000000" w:rsidRPr="00000000" w14:paraId="0000001C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3.1.2.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Obrátenie, zmeny, vydanie sa na cestu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predstavujú druhý formačný moment. Obrátenie, ktoré spomíname, nie je to prvé, základné, ide o väčšie či menšie obrátenia každodenného života, ku ktorým je učeník Ježiša Krista povolávaný na ceste svojej viery, na ceste s Ježišom. Nejde len o obrátenie sa v zmysle morálnom (zanechať zlo a konať dobro), ale ide o premenu zmýšľania (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metanoia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), o schopnosť nového videnia, posúdenia a bytia vo svete (z čoho plynie aj konanie). Cesta viery od nás paradoxne žiada neustálu ochotu k premene. Som teda stabilný, keď sa premieňam na Kristove slovo k niečomu stále novšiemu. Som teda stále na ceste, idem stále ďalej, nezostávam na mieste. Formácia dospelých teda obsahuje v sebe špecifickú úlohu pomáhať veriacemu, aby zostal na ceste, aby bol otvorený, aby stále hľadal. Ani Boh, ani svet nemôže byť ukrytý v škatuľke jednoduchých schém. </w:t>
      </w:r>
    </w:p>
    <w:p w:rsidR="00000000" w:rsidDel="00000000" w:rsidP="00000000" w:rsidRDefault="00000000" w:rsidRPr="00000000" w14:paraId="0000001D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3.2.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Vychovávateľ vo viere, formátor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, by mal prejsť cestou týchto napätí, udržuje si zdravé pochybnosti o sebe samom a o svojich poznatkoch o Bohu, o živote, o druhých. Osoby príliš tvrdé, priveľmi naviazané na jednu formu pohľadu a skúsenosti, nie sú vhodné pre formáciu dospelej viery. Preto dvojčleny vernosť/obrátenie, stabilita/zmena, zotrvanie/vydanie sa na cestu  nie sú protirečenia, ale sú naopak základnou podmienkou kresťanskej viery. Z nich vychádzajú aj pedagogické a didaktické prvky stretnutí. </w:t>
      </w:r>
    </w:p>
    <w:p w:rsidR="00000000" w:rsidDel="00000000" w:rsidP="00000000" w:rsidRDefault="00000000" w:rsidRPr="00000000" w14:paraId="0000001E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4.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Rozprávanie a reflexia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. To sú dva navzájom sa doplňujúce spôsoby služby zrelej viere.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Rozprávajúc o sebe sa stávame tými, ktorí utkávajú svoj život.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(P. Ricoeur) Teda nie len prísun poznatkov a poučiek vytvorí formáciu. Samotné evanjelium vzniklo ako vyrozprávanie príbehu. Žiť a predkladať vieru znamená vedieť ju vyrozprávať. Viera je veľké prepojenie biblických a našich príbehov, formácia vedie k tomu, aby sa takéto prepojenie vytvorilo. Rozprávanie našich príbehov viery je spojené vždy s tou možnosťou, že Boh môže v každej chvíli rozpravy prísť. Katechéza dospelých je povolaná obnoviť schopnosť rozprávať a pomáha interpretovať naše príbehy. </w:t>
      </w:r>
    </w:p>
    <w:p w:rsidR="00000000" w:rsidDel="00000000" w:rsidP="00000000" w:rsidRDefault="00000000" w:rsidRPr="00000000" w14:paraId="0000001F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Nestačí však len rozprávať.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Treba aj reflektovať, rozmýšľať, meditovať, kontemplovať.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Zrelosť viery nie je len v príbehoch, ale aj v raste poznania, rastúcom, organickom, systematickom. Nie je to ani tak potreba, aby bolo všetko jasné, ale skôr ide o to, aby to zodpovedalo zmyslu mojej existencie. Augustín si kladie otázku: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Kto je ten, koho milujem, keď milujem svojho Boha?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(Vyznania X,7,11)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Túžil som porozumieť tomu, v čo som uveril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(O Trojici XV,28,51). Veriaci hľadá dôvody svojej viery. Sv. Pavol píše: </w:t>
      </w: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Viem, komu som uveril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(2 Tim 1,12) Myslieť a meditovať je konštitutívny moment viery, lebo to predstavuje pokorné a neustále hľadanie Toho, ktorý nám prišiel v ústrety. </w:t>
      </w:r>
    </w:p>
    <w:p w:rsidR="00000000" w:rsidDel="00000000" w:rsidP="00000000" w:rsidRDefault="00000000" w:rsidRPr="00000000" w14:paraId="00000020">
      <w:pPr>
        <w:spacing w:line="240" w:lineRule="auto"/>
        <w:ind w:left="54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Cesta rozprávania a reflexie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môže dať tradičnej katechéze (formácii) dospelých nové rozmery. </w:t>
      </w:r>
    </w:p>
    <w:p w:rsidR="00000000" w:rsidDel="00000000" w:rsidP="00000000" w:rsidRDefault="00000000" w:rsidRPr="00000000" w14:paraId="00000021">
      <w:pPr>
        <w:spacing w:after="160" w:lineRule="auto"/>
        <w:jc w:val="left"/>
        <w:rPr>
          <w:rFonts w:ascii="Georgia" w:cs="Georgia" w:eastAsia="Georgia" w:hAnsi="Georg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540" w:firstLine="0"/>
        <w:jc w:val="center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Štruktúra formačných tém</w:t>
      </w:r>
    </w:p>
    <w:tbl>
      <w:tblPr>
        <w:tblStyle w:val="Table1"/>
        <w:tblW w:w="8520.0" w:type="dxa"/>
        <w:jc w:val="left"/>
        <w:tblInd w:w="5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"/>
        <w:gridCol w:w="4560"/>
        <w:gridCol w:w="3465"/>
        <w:tblGridChange w:id="0">
          <w:tblGrid>
            <w:gridCol w:w="495"/>
            <w:gridCol w:w="4560"/>
            <w:gridCol w:w="34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Metodika a štruktúra tém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Čože je človek, že naň pamätáš?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Dôstojnosť ľudskej osoby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Znovuzrodení živým a večným Slovom 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Božie slovo v Písme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Pochovaní a vzkriesení s Ním </w:t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Krst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Plní viery a Ducha Svätého 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Birmovanie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Spoznali ho pri lámaní chleba a vrátili sa k bratom 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Eucharistia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 bázni pred Pánom rásť v úteche Ducha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Cirkev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Byť synmi a dcérami, bratmi a sestrami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Sviatosť pokánia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Kráľovské kňazstvo a svätý národ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Laici v Cirkvi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Žiť v časných veciach podľa evanjelia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Laici vo svete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</w:t>
            </w:r>
            <w:r w:rsidDel="00000000" w:rsidR="00000000" w:rsidRPr="00000000">
              <w:rPr>
                <w:rtl w:val="0"/>
              </w:rPr>
              <w:t xml:space="preserve">naky saleziánskeho povolania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3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Saleziánska charizma v Cirkvi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4">
            <w:pPr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5">
            <w:pPr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6">
            <w:pPr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line="240" w:lineRule="auto"/>
        <w:ind w:left="54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masis MT Pro Black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Candara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Book Antiqua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Congenial SemiBold"/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Spracované podľa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Formare e formarsi ad una fede adulta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fratel Enzo Biemmi. Zdroj: </w:t>
      </w:r>
      <w:hyperlink r:id="rId1">
        <w:r w:rsidDel="00000000" w:rsidR="00000000" w:rsidRPr="00000000">
          <w:rPr>
            <w:rFonts w:ascii="Arial Narrow" w:cs="Arial Narrow" w:eastAsia="Arial Narrow" w:hAnsi="Arial Narrow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internet</w:t>
        </w:r>
      </w:hyperlink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75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82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ndara" w:cs="Candara" w:eastAsia="Candara" w:hAnsi="Candara"/>
        <w:sz w:val="24"/>
        <w:szCs w:val="24"/>
        <w:lang w:val="sk-SK"/>
      </w:rPr>
    </w:rPrDefault>
    <w:pPrDefault>
      <w:pPr>
        <w:spacing w:after="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240" w:lineRule="auto"/>
      <w:jc w:val="center"/>
    </w:pPr>
    <w:rPr>
      <w:rFonts w:ascii="Amasis MT Pro Black" w:cs="Amasis MT Pro Black" w:eastAsia="Amasis MT Pro Black" w:hAnsi="Amasis MT Pro Black"/>
      <w:b w:val="1"/>
      <w:color w:val="0070c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Amasis MT Pro Black" w:cs="Amasis MT Pro Black" w:eastAsia="Amasis MT Pro Black" w:hAnsi="Amasis MT Pro Black"/>
      <w:color w:val="00b0f0"/>
      <w:sz w:val="28"/>
      <w:szCs w:val="28"/>
    </w:rPr>
  </w:style>
  <w:style w:type="paragraph" w:styleId="Heading3">
    <w:name w:val="heading 3"/>
    <w:basedOn w:val="Normal"/>
    <w:next w:val="Normal"/>
    <w:pPr>
      <w:spacing w:after="240" w:before="240" w:lineRule="auto"/>
    </w:pPr>
    <w:rPr>
      <w:rFonts w:ascii="Congenial SemiBold" w:cs="Congenial SemiBold" w:eastAsia="Congenial SemiBold" w:hAnsi="Congenial SemiBold"/>
      <w:b w:val="1"/>
      <w:color w:val="00b0f0"/>
    </w:rPr>
  </w:style>
  <w:style w:type="paragraph" w:styleId="Heading4">
    <w:name w:val="heading 4"/>
    <w:basedOn w:val="Normal"/>
    <w:next w:val="Normal"/>
    <w:pPr>
      <w:spacing w:after="240" w:before="200" w:lineRule="auto"/>
    </w:pPr>
    <w:rPr>
      <w:rFonts w:ascii="Roboto" w:cs="Roboto" w:eastAsia="Roboto" w:hAnsi="Roboto"/>
      <w:b w:val="1"/>
      <w:color w:val="ffffff"/>
      <w:sz w:val="20"/>
      <w:szCs w:val="20"/>
    </w:rPr>
  </w:style>
  <w:style w:type="paragraph" w:styleId="Heading5">
    <w:name w:val="heading 5"/>
    <w:basedOn w:val="Normal"/>
    <w:next w:val="Normal"/>
    <w:pPr>
      <w:pBdr>
        <w:top w:color="4472c4" w:space="1" w:sz="6" w:val="single"/>
        <w:left w:color="4472c4" w:space="4" w:sz="6" w:val="single"/>
        <w:bottom w:color="4472c4" w:space="1" w:sz="6" w:val="single"/>
        <w:right w:color="4472c4" w:space="4" w:sz="6" w:val="single"/>
      </w:pBdr>
      <w:shd w:fill="00b0f0" w:val="clear"/>
      <w:spacing w:after="0" w:before="200" w:lineRule="auto"/>
    </w:pPr>
    <w:rPr>
      <w:rFonts w:ascii="Arial Narrow" w:cs="Arial Narrow" w:eastAsia="Arial Narrow" w:hAnsi="Arial Narrow"/>
      <w:b w:val="1"/>
      <w:color w:val="ffffff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720" w:line="276" w:lineRule="auto"/>
    </w:pPr>
    <w:rPr>
      <w:rFonts w:ascii="Book Antiqua" w:cs="Book Antiqua" w:eastAsia="Book Antiqua" w:hAnsi="Book Antiqua"/>
      <w:smallCaps w:val="1"/>
      <w:color w:val="4472c4"/>
      <w:sz w:val="44"/>
      <w:szCs w:val="44"/>
    </w:rPr>
  </w:style>
  <w:style w:type="paragraph" w:styleId="Normlny" w:default="1">
    <w:name w:val="Normal"/>
    <w:qFormat w:val="1"/>
    <w:rsid w:val="005C270B"/>
    <w:pPr>
      <w:spacing w:after="60"/>
      <w:jc w:val="both"/>
    </w:pPr>
    <w:rPr>
      <w:rFonts w:ascii="Candara" w:eastAsia="MS Mincho" w:hAnsi="Candara"/>
      <w:sz w:val="24"/>
    </w:rPr>
  </w:style>
  <w:style w:type="paragraph" w:styleId="Nadpis1">
    <w:name w:val="heading 1"/>
    <w:basedOn w:val="Normlny"/>
    <w:link w:val="Nadpis1Char"/>
    <w:uiPriority w:val="9"/>
    <w:qFormat w:val="1"/>
    <w:rsid w:val="00E732B7"/>
    <w:pPr>
      <w:spacing w:after="240" w:before="240"/>
      <w:jc w:val="center"/>
      <w:outlineLvl w:val="0"/>
    </w:pPr>
    <w:rPr>
      <w:rFonts w:ascii="Amasis MT Pro Black" w:cs="Times New Roman" w:eastAsia="Times New Roman" w:hAnsi="Amasis MT Pro Black"/>
      <w:b w:val="1"/>
      <w:bCs w:val="1"/>
      <w:color w:val="0070c0"/>
      <w:kern w:val="36"/>
      <w:sz w:val="32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 w:val="1"/>
    <w:qFormat w:val="1"/>
    <w:rsid w:val="00E732B7"/>
    <w:pPr>
      <w:keepNext w:val="1"/>
      <w:keepLines w:val="1"/>
      <w:spacing w:after="0" w:before="40"/>
      <w:outlineLvl w:val="1"/>
    </w:pPr>
    <w:rPr>
      <w:rFonts w:ascii="Amasis MT Pro Black" w:hAnsi="Amasis MT Pro Black" w:cstheme="majorBidi" w:eastAsiaTheme="majorEastAsia"/>
      <w:color w:val="00b0f0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 w:val="1"/>
    <w:qFormat w:val="1"/>
    <w:rsid w:val="00142853"/>
    <w:pPr>
      <w:spacing w:after="240" w:before="240"/>
      <w:outlineLvl w:val="2"/>
    </w:pPr>
    <w:rPr>
      <w:rFonts w:ascii="Congenial SemiBold" w:hAnsi="Congenial SemiBold"/>
      <w:b w:val="1"/>
      <w:bCs w:val="1"/>
      <w:color w:val="00b0f0"/>
    </w:rPr>
  </w:style>
  <w:style w:type="paragraph" w:styleId="Nadpis4">
    <w:name w:val="heading 4"/>
    <w:basedOn w:val="Normlny"/>
    <w:next w:val="Normlny"/>
    <w:link w:val="Nadpis4Char"/>
    <w:uiPriority w:val="9"/>
    <w:unhideWhenUsed w:val="1"/>
    <w:qFormat w:val="1"/>
    <w:rsid w:val="00137086"/>
    <w:pPr>
      <w:spacing w:after="240" w:before="200"/>
      <w:outlineLvl w:val="3"/>
    </w:pPr>
    <w:rPr>
      <w:rFonts w:ascii="Roboto" w:hAnsi="Roboto"/>
      <w:b w:val="1"/>
      <w:bCs w:val="1"/>
      <w:color w:val="ffffff" w:themeColor="background1"/>
      <w:spacing w:val="10"/>
      <w:sz w:val="20"/>
    </w:rPr>
  </w:style>
  <w:style w:type="paragraph" w:styleId="Nadpis5">
    <w:name w:val="heading 5"/>
    <w:basedOn w:val="Normlny"/>
    <w:next w:val="Normlny"/>
    <w:link w:val="Nadpis5Char"/>
    <w:uiPriority w:val="9"/>
    <w:unhideWhenUsed w:val="1"/>
    <w:qFormat w:val="1"/>
    <w:rsid w:val="00F26DDC"/>
    <w:pPr>
      <w:pBdr>
        <w:top w:color="4472c4" w:space="1" w:sz="6" w:themeColor="accent1" w:val="single"/>
        <w:left w:color="4472c4" w:space="4" w:sz="6" w:themeColor="accent1" w:val="single"/>
        <w:bottom w:color="4472c4" w:space="1" w:sz="6" w:themeColor="accent1" w:val="single"/>
        <w:right w:color="4472c4" w:space="4" w:sz="6" w:themeColor="accent1" w:val="single"/>
      </w:pBdr>
      <w:shd w:color="auto" w:fill="00b0f0" w:val="clear"/>
      <w:spacing w:after="0" w:before="200"/>
      <w:outlineLvl w:val="4"/>
    </w:pPr>
    <w:rPr>
      <w:rFonts w:ascii="Arial Narrow" w:hAnsi="Arial Narrow"/>
      <w:b w:val="1"/>
      <w:color w:val="ffffff" w:themeColor="background1"/>
      <w:spacing w:val="10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paragraph" w:styleId="Nzov">
    <w:name w:val="Title"/>
    <w:basedOn w:val="Normlny"/>
    <w:next w:val="Normlny"/>
    <w:link w:val="NzovChar"/>
    <w:uiPriority w:val="10"/>
    <w:qFormat w:val="1"/>
    <w:rsid w:val="00F26DDC"/>
    <w:pPr>
      <w:spacing w:after="0" w:before="720" w:line="276" w:lineRule="auto"/>
    </w:pPr>
    <w:rPr>
      <w:rFonts w:ascii="Book Antiqua" w:hAnsi="Book Antiqua" w:cstheme="majorBidi" w:eastAsiaTheme="majorEastAsia"/>
      <w:caps w:val="1"/>
      <w:color w:val="4472c4" w:themeColor="accent1"/>
      <w:spacing w:val="10"/>
      <w:sz w:val="44"/>
      <w:szCs w:val="52"/>
    </w:rPr>
  </w:style>
  <w:style w:type="character" w:styleId="NzovChar" w:customStyle="1">
    <w:name w:val="Názov Char"/>
    <w:basedOn w:val="Predvolenpsmoodseku"/>
    <w:link w:val="Nzov"/>
    <w:uiPriority w:val="10"/>
    <w:rsid w:val="00F26DDC"/>
    <w:rPr>
      <w:rFonts w:ascii="Book Antiqua" w:hAnsi="Book Antiqua" w:cstheme="majorBidi" w:eastAsiaTheme="majorEastAsia"/>
      <w:caps w:val="1"/>
      <w:color w:val="4472c4" w:themeColor="accent1"/>
      <w:spacing w:val="10"/>
      <w:sz w:val="44"/>
      <w:szCs w:val="52"/>
    </w:rPr>
  </w:style>
  <w:style w:type="character" w:styleId="Nadpis1Char" w:customStyle="1">
    <w:name w:val="Nadpis 1 Char"/>
    <w:basedOn w:val="Predvolenpsmoodseku"/>
    <w:link w:val="Nadpis1"/>
    <w:uiPriority w:val="9"/>
    <w:rsid w:val="00E732B7"/>
    <w:rPr>
      <w:rFonts w:ascii="Amasis MT Pro Black" w:cs="Times New Roman" w:eastAsia="Times New Roman" w:hAnsi="Amasis MT Pro Black"/>
      <w:b w:val="1"/>
      <w:bCs w:val="1"/>
      <w:color w:val="0070c0"/>
      <w:kern w:val="36"/>
      <w:sz w:val="32"/>
      <w:szCs w:val="48"/>
      <w:lang w:eastAsia="sk-SK"/>
    </w:rPr>
  </w:style>
  <w:style w:type="character" w:styleId="Nadpis2Char" w:customStyle="1">
    <w:name w:val="Nadpis 2 Char"/>
    <w:basedOn w:val="Predvolenpsmoodseku"/>
    <w:link w:val="Nadpis2"/>
    <w:uiPriority w:val="9"/>
    <w:rsid w:val="00E732B7"/>
    <w:rPr>
      <w:rFonts w:ascii="Amasis MT Pro Black" w:hAnsi="Amasis MT Pro Black" w:cstheme="majorBidi" w:eastAsiaTheme="majorEastAsia"/>
      <w:color w:val="00b0f0"/>
      <w:sz w:val="28"/>
      <w:szCs w:val="26"/>
    </w:rPr>
  </w:style>
  <w:style w:type="character" w:styleId="Nadpis3Char" w:customStyle="1">
    <w:name w:val="Nadpis 3 Char"/>
    <w:basedOn w:val="Predvolenpsmoodseku"/>
    <w:link w:val="Nadpis3"/>
    <w:uiPriority w:val="9"/>
    <w:rsid w:val="00142853"/>
    <w:rPr>
      <w:rFonts w:ascii="Congenial SemiBold" w:hAnsi="Congenial SemiBold"/>
      <w:b w:val="1"/>
      <w:bCs w:val="1"/>
      <w:color w:val="00b0f0"/>
      <w:sz w:val="24"/>
    </w:rPr>
  </w:style>
  <w:style w:type="character" w:styleId="Nadpis4Char" w:customStyle="1">
    <w:name w:val="Nadpis 4 Char"/>
    <w:basedOn w:val="Predvolenpsmoodseku"/>
    <w:link w:val="Nadpis4"/>
    <w:uiPriority w:val="9"/>
    <w:rsid w:val="00137086"/>
    <w:rPr>
      <w:rFonts w:ascii="Roboto" w:hAnsi="Roboto"/>
      <w:b w:val="1"/>
      <w:bCs w:val="1"/>
      <w:color w:val="ffffff" w:themeColor="background1"/>
      <w:spacing w:val="10"/>
      <w:sz w:val="20"/>
    </w:rPr>
  </w:style>
  <w:style w:type="character" w:styleId="Nadpis5Char" w:customStyle="1">
    <w:name w:val="Nadpis 5 Char"/>
    <w:basedOn w:val="Predvolenpsmoodseku"/>
    <w:link w:val="Nadpis5"/>
    <w:uiPriority w:val="9"/>
    <w:rsid w:val="00F26DDC"/>
    <w:rPr>
      <w:rFonts w:ascii="Arial Narrow" w:hAnsi="Arial Narrow"/>
      <w:b w:val="1"/>
      <w:color w:val="ffffff" w:themeColor="background1"/>
      <w:spacing w:val="10"/>
      <w:sz w:val="24"/>
      <w:shd w:color="auto" w:fill="00b0f0" w:val="clear"/>
    </w:rPr>
  </w:style>
  <w:style w:type="paragraph" w:styleId="Citcia">
    <w:name w:val="Quote"/>
    <w:basedOn w:val="Normlny"/>
    <w:next w:val="Normlny"/>
    <w:link w:val="CitciaChar"/>
    <w:uiPriority w:val="29"/>
    <w:qFormat w:val="1"/>
    <w:rsid w:val="00142853"/>
    <w:pPr>
      <w:pBdr>
        <w:left w:color="00b0f0" w:space="4" w:sz="24" w:val="single"/>
      </w:pBdr>
      <w:shd w:color="00b0f0" w:fill="auto" w:val="clear"/>
      <w:ind w:left="510" w:right="510"/>
      <w:jc w:val="left"/>
    </w:pPr>
    <w:rPr>
      <w:rFonts w:ascii="Garamond" w:hAnsi="Garamond"/>
      <w:i w:val="1"/>
      <w:iCs w:val="1"/>
      <w:szCs w:val="24"/>
    </w:rPr>
  </w:style>
  <w:style w:type="character" w:styleId="CitciaChar" w:customStyle="1">
    <w:name w:val="Citácia Char"/>
    <w:basedOn w:val="Predvolenpsmoodseku"/>
    <w:link w:val="Citcia"/>
    <w:uiPriority w:val="29"/>
    <w:rsid w:val="00142853"/>
    <w:rPr>
      <w:rFonts w:ascii="Garamond" w:hAnsi="Garamond"/>
      <w:i w:val="1"/>
      <w:iCs w:val="1"/>
      <w:sz w:val="24"/>
      <w:szCs w:val="24"/>
      <w:shd w:color="00b0f0" w:fill="auto" w:val="clear"/>
    </w:rPr>
  </w:style>
  <w:style w:type="paragraph" w:styleId="Textpoznmkypodiarou">
    <w:name w:val="footnote text"/>
    <w:basedOn w:val="Normlny"/>
    <w:link w:val="TextpoznmkypodiarouChar"/>
    <w:uiPriority w:val="99"/>
    <w:semiHidden w:val="1"/>
    <w:unhideWhenUsed w:val="1"/>
    <w:rsid w:val="000A00A9"/>
    <w:pPr>
      <w:spacing w:after="0" w:line="240" w:lineRule="auto"/>
    </w:pPr>
    <w:rPr>
      <w:sz w:val="20"/>
      <w:szCs w:val="20"/>
    </w:rPr>
  </w:style>
  <w:style w:type="character" w:styleId="TextpoznmkypodiarouChar" w:customStyle="1">
    <w:name w:val="Text poznámky pod čiarou Char"/>
    <w:basedOn w:val="Predvolenpsmoodseku"/>
    <w:link w:val="Textpoznmkypodiarou"/>
    <w:uiPriority w:val="99"/>
    <w:semiHidden w:val="1"/>
    <w:rsid w:val="000A00A9"/>
    <w:rPr>
      <w:rFonts w:ascii="Candara" w:eastAsia="MS Mincho" w:hAnsi="Candara"/>
      <w:sz w:val="20"/>
      <w:szCs w:val="20"/>
    </w:rPr>
  </w:style>
  <w:style w:type="character" w:styleId="Hypertextovprepojenie">
    <w:name w:val="Hyperlink"/>
    <w:basedOn w:val="Predvolenpsmoodseku"/>
    <w:uiPriority w:val="99"/>
    <w:unhideWhenUsed w:val="1"/>
    <w:rsid w:val="000A00A9"/>
    <w:rPr>
      <w:color w:val="0000ff"/>
      <w:u w:val="single"/>
    </w:rPr>
  </w:style>
  <w:style w:type="character" w:styleId="Odkaznapoznmkupodiarou">
    <w:name w:val="footnote reference"/>
    <w:basedOn w:val="Predvolenpsmoodseku"/>
    <w:uiPriority w:val="99"/>
    <w:semiHidden w:val="1"/>
    <w:unhideWhenUsed w:val="1"/>
    <w:rsid w:val="000A00A9"/>
    <w:rPr>
      <w:vertAlign w:val="superscript"/>
    </w:rPr>
  </w:style>
  <w:style w:type="table" w:styleId="Mriekatabuky">
    <w:name w:val="Table Grid"/>
    <w:basedOn w:val="Normlnatabuka"/>
    <w:uiPriority w:val="39"/>
    <w:rsid w:val="0044047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Candara-regular.ttf"/><Relationship Id="rId10" Type="http://schemas.openxmlformats.org/officeDocument/2006/relationships/font" Target="fonts/Tahoma-bold.ttf"/><Relationship Id="rId13" Type="http://schemas.openxmlformats.org/officeDocument/2006/relationships/font" Target="fonts/Candara-italic.ttf"/><Relationship Id="rId12" Type="http://schemas.openxmlformats.org/officeDocument/2006/relationships/font" Target="fonts/Candara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Tahoma-regular.ttf"/><Relationship Id="rId15" Type="http://schemas.openxmlformats.org/officeDocument/2006/relationships/font" Target="fonts/BookAntiqua-regular.ttf"/><Relationship Id="rId14" Type="http://schemas.openxmlformats.org/officeDocument/2006/relationships/font" Target="fonts/Candara-boldItalic.ttf"/><Relationship Id="rId17" Type="http://schemas.openxmlformats.org/officeDocument/2006/relationships/font" Target="fonts/BookAntiqua-italic.ttf"/><Relationship Id="rId16" Type="http://schemas.openxmlformats.org/officeDocument/2006/relationships/font" Target="fonts/BookAntiqua-bold.ttf"/><Relationship Id="rId5" Type="http://schemas.openxmlformats.org/officeDocument/2006/relationships/font" Target="fonts/ArialNarrow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ArialNarrow-bold.ttf"/><Relationship Id="rId18" Type="http://schemas.openxmlformats.org/officeDocument/2006/relationships/font" Target="fonts/BookAntiqua-boldItalic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://www.webdiocesi.chiesacattolica.it/cci_new/documenti_diocesi/31/2013-11/06-29/relazione_biemmi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A4J43wSU0hbTuLMtsWT4wqgiMw==">CgMxLjA4AHIhMWpBVjBPMW04THlpNTBrUU9sVnIyd3phTTZPRngyUXJq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2023-07-08T07:57:00Z</dcterms:created>
  <dc:creator>Pavol Grach sdb</dc:creator>
</cp:coreProperties>
</file>